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DA" w:rsidRPr="00271CDA" w:rsidRDefault="00271CDA" w:rsidP="00271CDA">
      <w:pPr>
        <w:spacing w:before="120" w:after="120" w:line="36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bookmarkStart w:id="0" w:name="_GoBack"/>
      <w:r w:rsidRPr="00271CDA">
        <w:rPr>
          <w:rFonts w:ascii="Times New Roman" w:hAnsi="Times New Roman"/>
          <w:b/>
          <w:caps/>
          <w:color w:val="000000"/>
          <w:sz w:val="24"/>
        </w:rPr>
        <w:t xml:space="preserve">Stimolazione </w:t>
      </w:r>
      <w:r w:rsidR="00E14DF9" w:rsidRPr="00271CDA">
        <w:rPr>
          <w:rFonts w:ascii="Times New Roman" w:hAnsi="Times New Roman"/>
          <w:b/>
          <w:caps/>
          <w:color w:val="000000"/>
          <w:sz w:val="24"/>
        </w:rPr>
        <w:t>in modelli preclinici</w:t>
      </w:r>
      <w:r w:rsidR="00E14DF9" w:rsidRPr="00271CDA">
        <w:rPr>
          <w:rFonts w:ascii="Times New Roman" w:hAnsi="Times New Roman"/>
          <w:b/>
          <w:caps/>
          <w:color w:val="000000"/>
          <w:sz w:val="24"/>
        </w:rPr>
        <w:t xml:space="preserve"> </w:t>
      </w:r>
      <w:r w:rsidRPr="00271CDA">
        <w:rPr>
          <w:rFonts w:ascii="Times New Roman" w:hAnsi="Times New Roman"/>
          <w:b/>
          <w:caps/>
          <w:color w:val="000000"/>
          <w:sz w:val="24"/>
        </w:rPr>
        <w:t xml:space="preserve">dell’immunità adattativa </w:t>
      </w:r>
      <w:r w:rsidR="00F70840">
        <w:rPr>
          <w:rFonts w:ascii="Times New Roman" w:hAnsi="Times New Roman"/>
          <w:b/>
          <w:caps/>
          <w:color w:val="000000"/>
          <w:sz w:val="24"/>
        </w:rPr>
        <w:t xml:space="preserve">mediante tf </w:t>
      </w:r>
      <w:r w:rsidRPr="00271CDA">
        <w:rPr>
          <w:rFonts w:ascii="Times New Roman" w:hAnsi="Times New Roman"/>
          <w:b/>
          <w:caps/>
          <w:color w:val="000000"/>
          <w:sz w:val="24"/>
        </w:rPr>
        <w:t xml:space="preserve">come trattamento di neoplasie IDH1 mutate </w:t>
      </w:r>
    </w:p>
    <w:bookmarkEnd w:id="0"/>
    <w:p w:rsidR="00271CDA" w:rsidRPr="00271CDA" w:rsidRDefault="00271CDA" w:rsidP="00271CDA">
      <w:pPr>
        <w:spacing w:before="120"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71CDA">
        <w:rPr>
          <w:rFonts w:ascii="Times New Roman" w:hAnsi="Times New Roman"/>
          <w:i/>
          <w:color w:val="000000"/>
          <w:sz w:val="24"/>
          <w:szCs w:val="24"/>
        </w:rPr>
        <w:t>Tutor: Prof. Giovanni Brandi</w:t>
      </w:r>
    </w:p>
    <w:p w:rsidR="00271CDA" w:rsidRPr="00271CDA" w:rsidRDefault="00271CDA" w:rsidP="00271CDA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CDA" w:rsidRPr="00271CDA" w:rsidRDefault="00271CDA" w:rsidP="00271CDA">
      <w:pPr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1CDA">
        <w:rPr>
          <w:rFonts w:ascii="Times New Roman" w:hAnsi="Times New Roman"/>
          <w:b/>
          <w:color w:val="000000"/>
          <w:sz w:val="24"/>
          <w:szCs w:val="24"/>
        </w:rPr>
        <w:t>Background</w:t>
      </w:r>
    </w:p>
    <w:p w:rsidR="00243251" w:rsidRPr="00271CDA" w:rsidRDefault="00243251" w:rsidP="00271CDA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CDA">
        <w:rPr>
          <w:rFonts w:ascii="Times New Roman" w:hAnsi="Times New Roman"/>
          <w:color w:val="000000"/>
          <w:sz w:val="24"/>
          <w:szCs w:val="24"/>
        </w:rPr>
        <w:t xml:space="preserve">Le immunoterapie contro il cancro hanno rivoluzionato il panorama terapeutico oncologico. Attualmente sta aumentando l’interesse per l'identificazione di molecole naturali o sintetiche in grado di agire da coadiuvanti sia nelle strategie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immunoterapiche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che vaccinali. Il fattore di trasferimento (TF) si riferisce ad un gruppo di composti di meno di 6000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costituiti da piccoli peptidi coniugati con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oligoribonucleotidi</w:t>
      </w:r>
      <w:proofErr w:type="spellEnd"/>
      <w:r w:rsidR="00E71401">
        <w:rPr>
          <w:rFonts w:ascii="Times New Roman" w:hAnsi="Times New Roman"/>
          <w:color w:val="000000"/>
          <w:sz w:val="24"/>
          <w:szCs w:val="24"/>
        </w:rPr>
        <w:t xml:space="preserve"> (1)</w:t>
      </w:r>
      <w:r w:rsidRPr="00271CDA">
        <w:rPr>
          <w:rFonts w:ascii="Times New Roman" w:hAnsi="Times New Roman"/>
          <w:color w:val="000000"/>
          <w:sz w:val="24"/>
          <w:szCs w:val="24"/>
        </w:rPr>
        <w:t xml:space="preserve">. Queste molecole possono essere estratte da un donatore o da colture di leucociti e replicate nella linea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linfoblastoid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LDV/7</w:t>
      </w:r>
      <w:r w:rsidR="00E71401">
        <w:rPr>
          <w:rFonts w:ascii="Times New Roman" w:hAnsi="Times New Roman"/>
          <w:color w:val="000000"/>
          <w:sz w:val="24"/>
          <w:szCs w:val="24"/>
        </w:rPr>
        <w:t xml:space="preserve"> (2)</w:t>
      </w:r>
      <w:r w:rsidRPr="00271CDA">
        <w:rPr>
          <w:rFonts w:ascii="Times New Roman" w:hAnsi="Times New Roman"/>
          <w:color w:val="000000"/>
          <w:sz w:val="24"/>
          <w:szCs w:val="24"/>
        </w:rPr>
        <w:t xml:space="preserve">. Studi precedenti hanno dimostrato che il TF è in grado di trasferire passivamente l'immunità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cellulo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>-mediata da donatore immune a ricevente non immune. Nei pazienti oncologici, l’inoculo di TF è in grado di elicitare una risposta antitumorale; tale effetto si basa sulla capacità nota del TF di aumentare la risposta dei linfociti Th1</w:t>
      </w:r>
      <w:r w:rsidR="00E71401">
        <w:rPr>
          <w:rFonts w:ascii="Times New Roman" w:hAnsi="Times New Roman"/>
          <w:color w:val="000000"/>
          <w:sz w:val="24"/>
          <w:szCs w:val="24"/>
        </w:rPr>
        <w:t xml:space="preserve"> (3)</w:t>
      </w:r>
      <w:r w:rsidRPr="00271CDA">
        <w:rPr>
          <w:rFonts w:ascii="Times New Roman" w:hAnsi="Times New Roman"/>
          <w:color w:val="000000"/>
          <w:sz w:val="24"/>
          <w:szCs w:val="24"/>
        </w:rPr>
        <w:t>. L'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isocitrato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deidrogenasi (IDH1 e IDH2) è un enzima metabolico che converte l’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isocitrato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ad alfa-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chetoglutarato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. Mutazioni di IDH1 e 2 portano alla produzione di D-2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idrossiglutarato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, un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oncometabolita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che induce modificazioni epigenetiche legate alla carcinogenesi. Tali mutazioni sono frequenti nel glioblastoma, nel colangiocarcinoma intraepatico (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iCCA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>) e nella leucemia mieloide acuta</w:t>
      </w:r>
      <w:r w:rsidR="00E71401">
        <w:rPr>
          <w:rFonts w:ascii="Times New Roman" w:hAnsi="Times New Roman"/>
          <w:color w:val="000000"/>
          <w:sz w:val="24"/>
          <w:szCs w:val="24"/>
        </w:rPr>
        <w:t xml:space="preserve"> (4)</w:t>
      </w:r>
      <w:r w:rsidRPr="00271CDA">
        <w:rPr>
          <w:rFonts w:ascii="Times New Roman" w:hAnsi="Times New Roman"/>
          <w:color w:val="000000"/>
          <w:sz w:val="24"/>
          <w:szCs w:val="24"/>
        </w:rPr>
        <w:t>. Studi recenti hanno dimostrato che la proteina IDH1 mutata sia altamente immunogenica.</w:t>
      </w:r>
    </w:p>
    <w:p w:rsidR="00243251" w:rsidRPr="00271CDA" w:rsidRDefault="00243251" w:rsidP="00271CDA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CDA">
        <w:rPr>
          <w:rFonts w:ascii="Times New Roman" w:hAnsi="Times New Roman"/>
          <w:color w:val="000000"/>
          <w:sz w:val="24"/>
          <w:szCs w:val="24"/>
        </w:rPr>
        <w:t xml:space="preserve">Su queste basi, l'obiettivo del presente progetto di ricerca sarà quello di valutare l’efficacia della somministrazione del TF nel trattamento e nella prevenzione del cancro in modelli preclinici di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iCCA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con IDH1 mutato. </w:t>
      </w:r>
    </w:p>
    <w:p w:rsidR="00E71401" w:rsidRDefault="00E71401" w:rsidP="00271CDA">
      <w:pPr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3251" w:rsidRPr="00271CDA" w:rsidRDefault="00271CDA" w:rsidP="00271CDA">
      <w:pPr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1CDA">
        <w:rPr>
          <w:rFonts w:ascii="Times New Roman" w:hAnsi="Times New Roman"/>
          <w:b/>
          <w:color w:val="000000"/>
          <w:sz w:val="24"/>
          <w:szCs w:val="24"/>
        </w:rPr>
        <w:t>Piano di attività</w:t>
      </w:r>
    </w:p>
    <w:p w:rsidR="00243251" w:rsidRPr="00271CDA" w:rsidRDefault="00243251" w:rsidP="00271CDA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CDA">
        <w:rPr>
          <w:rFonts w:ascii="Times New Roman" w:hAnsi="Times New Roman"/>
          <w:color w:val="000000"/>
          <w:sz w:val="24"/>
          <w:szCs w:val="24"/>
        </w:rPr>
        <w:t xml:space="preserve">1) Valutazione mediante analisi di immunoistochimica </w:t>
      </w:r>
      <w:proofErr w:type="gramStart"/>
      <w:r w:rsidRPr="00271CDA">
        <w:rPr>
          <w:rFonts w:ascii="Times New Roman" w:hAnsi="Times New Roman"/>
          <w:color w:val="000000"/>
          <w:sz w:val="24"/>
          <w:szCs w:val="24"/>
        </w:rPr>
        <w:t>dell’ espressione</w:t>
      </w:r>
      <w:proofErr w:type="gramEnd"/>
      <w:r w:rsidRPr="00271CDA">
        <w:rPr>
          <w:rFonts w:ascii="Times New Roman" w:hAnsi="Times New Roman"/>
          <w:color w:val="000000"/>
          <w:sz w:val="24"/>
          <w:szCs w:val="24"/>
        </w:rPr>
        <w:t xml:space="preserve"> di IDH1 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>nel tessuto tumorale di</w:t>
      </w:r>
      <w:r w:rsidRPr="00271CDA">
        <w:rPr>
          <w:rFonts w:ascii="Times New Roman" w:hAnsi="Times New Roman"/>
          <w:color w:val="000000"/>
          <w:sz w:val="24"/>
          <w:szCs w:val="24"/>
        </w:rPr>
        <w:t xml:space="preserve"> pazienti con </w:t>
      </w:r>
      <w:proofErr w:type="spellStart"/>
      <w:r w:rsidRPr="00271CDA">
        <w:rPr>
          <w:rFonts w:ascii="Times New Roman" w:hAnsi="Times New Roman"/>
          <w:color w:val="000000"/>
          <w:sz w:val="24"/>
          <w:szCs w:val="24"/>
        </w:rPr>
        <w:t>iCCA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>esprimenti IDH1 wild-</w:t>
      </w:r>
      <w:proofErr w:type="spellStart"/>
      <w:r w:rsidR="00FE4C8C" w:rsidRPr="00271CDA">
        <w:rPr>
          <w:rFonts w:ascii="Times New Roman" w:hAnsi="Times New Roman"/>
          <w:color w:val="000000"/>
          <w:sz w:val="24"/>
          <w:szCs w:val="24"/>
        </w:rPr>
        <w:t>type</w:t>
      </w:r>
      <w:proofErr w:type="spellEnd"/>
      <w:r w:rsidR="00FE4C8C" w:rsidRPr="00271CDA">
        <w:rPr>
          <w:rFonts w:ascii="Times New Roman" w:hAnsi="Times New Roman"/>
          <w:color w:val="000000"/>
          <w:sz w:val="24"/>
          <w:szCs w:val="24"/>
        </w:rPr>
        <w:t xml:space="preserve"> o mutato (</w:t>
      </w:r>
      <w:r w:rsidRPr="00271CDA">
        <w:rPr>
          <w:rFonts w:ascii="Times New Roman" w:hAnsi="Times New Roman"/>
          <w:color w:val="000000"/>
          <w:sz w:val="24"/>
          <w:szCs w:val="24"/>
        </w:rPr>
        <w:t>R132C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>)</w:t>
      </w:r>
      <w:r w:rsidRPr="00271CDA">
        <w:rPr>
          <w:rFonts w:ascii="Times New Roman" w:hAnsi="Times New Roman"/>
          <w:color w:val="000000"/>
          <w:sz w:val="24"/>
          <w:szCs w:val="24"/>
        </w:rPr>
        <w:t xml:space="preserve">. Questa parte dello studio avrà lo scopo di valutare se esiste una diversa localizzazione 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>tra la proteina IDH1 WT e mutata nelle cellule tumorali. A</w:t>
      </w:r>
      <w:r w:rsidRPr="00271CDA">
        <w:rPr>
          <w:rFonts w:ascii="Times New Roman" w:hAnsi="Times New Roman"/>
          <w:color w:val="000000"/>
          <w:sz w:val="24"/>
          <w:szCs w:val="24"/>
        </w:rPr>
        <w:t xml:space="preserve">l fine di valutare se la mutazione di IDH1 R132C possa suscitare una risposta immunogenica dei linfociti T CD4+, i livelli di anticorpi contro la mutazione di IDH1 R132C saranno misurati nel siero di pazienti con </w:t>
      </w:r>
      <w:proofErr w:type="spellStart"/>
      <w:r w:rsidR="00FE4C8C" w:rsidRPr="00271CDA">
        <w:rPr>
          <w:rFonts w:ascii="Times New Roman" w:hAnsi="Times New Roman"/>
          <w:color w:val="000000"/>
          <w:sz w:val="24"/>
          <w:szCs w:val="24"/>
        </w:rPr>
        <w:t>i</w:t>
      </w:r>
      <w:r w:rsidRPr="00271CDA">
        <w:rPr>
          <w:rFonts w:ascii="Times New Roman" w:hAnsi="Times New Roman"/>
          <w:color w:val="000000"/>
          <w:sz w:val="24"/>
          <w:szCs w:val="24"/>
        </w:rPr>
        <w:t>CC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271C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 xml:space="preserve">aventi </w:t>
      </w:r>
      <w:r w:rsidRPr="00271CDA">
        <w:rPr>
          <w:rFonts w:ascii="Times New Roman" w:hAnsi="Times New Roman"/>
          <w:color w:val="000000"/>
          <w:sz w:val="24"/>
          <w:szCs w:val="24"/>
        </w:rPr>
        <w:t xml:space="preserve">IDH1 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>WT o</w:t>
      </w:r>
      <w:r w:rsidRPr="00271CDA">
        <w:rPr>
          <w:rFonts w:ascii="Times New Roman" w:hAnsi="Times New Roman"/>
          <w:color w:val="000000"/>
          <w:sz w:val="24"/>
          <w:szCs w:val="24"/>
        </w:rPr>
        <w:t xml:space="preserve"> mutat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>o.</w:t>
      </w:r>
    </w:p>
    <w:p w:rsidR="00880C4C" w:rsidRPr="00271CDA" w:rsidRDefault="00243251" w:rsidP="00271CD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71CDA">
        <w:rPr>
          <w:rFonts w:ascii="Times New Roman" w:hAnsi="Times New Roman"/>
          <w:color w:val="000000"/>
          <w:sz w:val="24"/>
          <w:szCs w:val="24"/>
        </w:rPr>
        <w:lastRenderedPageBreak/>
        <w:t>2)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22A" w:rsidRPr="00271CDA">
        <w:rPr>
          <w:rFonts w:ascii="Times New Roman" w:hAnsi="Times New Roman"/>
          <w:color w:val="000000"/>
          <w:sz w:val="24"/>
          <w:szCs w:val="24"/>
        </w:rPr>
        <w:t xml:space="preserve">Produzione del TF contro la mutazione IDH1 R132C. </w:t>
      </w:r>
      <w:r w:rsidR="00FE4C8C" w:rsidRPr="00271CDA">
        <w:rPr>
          <w:rFonts w:ascii="Times New Roman" w:hAnsi="Times New Roman"/>
          <w:color w:val="000000"/>
          <w:sz w:val="24"/>
          <w:szCs w:val="24"/>
        </w:rPr>
        <w:t xml:space="preserve">A tal fine 10 ratti per gruppo verranno </w:t>
      </w:r>
      <w:r w:rsidR="00FE4C8C" w:rsidRPr="00271CDA">
        <w:rPr>
          <w:rFonts w:ascii="Times New Roman" w:hAnsi="Times New Roman"/>
          <w:sz w:val="24"/>
          <w:szCs w:val="24"/>
        </w:rPr>
        <w:t xml:space="preserve">iniettati con cellule di </w:t>
      </w:r>
      <w:proofErr w:type="spellStart"/>
      <w:r w:rsidR="00FE4C8C" w:rsidRPr="00271CDA">
        <w:rPr>
          <w:rFonts w:ascii="Times New Roman" w:hAnsi="Times New Roman"/>
          <w:sz w:val="24"/>
          <w:szCs w:val="24"/>
        </w:rPr>
        <w:t>iCCA</w:t>
      </w:r>
      <w:proofErr w:type="spellEnd"/>
      <w:r w:rsidR="00FE4C8C" w:rsidRPr="00271CDA">
        <w:rPr>
          <w:rFonts w:ascii="Times New Roman" w:hAnsi="Times New Roman"/>
          <w:sz w:val="24"/>
          <w:szCs w:val="24"/>
        </w:rPr>
        <w:t xml:space="preserve"> SNU-1079 contenenti la mutazione IDH1-R132C e silenziate per IDH1 (controllo negativo). Le cellule SNU-1079 verranno fissate in formalina e iniettate insieme all'adiuvante (</w:t>
      </w:r>
      <w:proofErr w:type="spellStart"/>
      <w:r w:rsidR="00FE4C8C" w:rsidRPr="00271CDA">
        <w:rPr>
          <w:rFonts w:ascii="Times New Roman" w:hAnsi="Times New Roman"/>
          <w:sz w:val="24"/>
          <w:szCs w:val="24"/>
        </w:rPr>
        <w:t>Freund</w:t>
      </w:r>
      <w:proofErr w:type="spellEnd"/>
      <w:r w:rsidR="00FE4C8C" w:rsidRPr="00271CDA">
        <w:rPr>
          <w:rFonts w:ascii="Times New Roman" w:hAnsi="Times New Roman"/>
          <w:sz w:val="24"/>
          <w:szCs w:val="24"/>
        </w:rPr>
        <w:t>) per stimolare la risposta immunitaria. I ratti verranno incubati per 7-21 giorni (il periodo di incubazione dipende dal ceppo di ratto utilizzato) per stimolare la risposta immunitaria e sacrificati. Verranno recuperati la milza, il timo e i linfonodi</w:t>
      </w:r>
      <w:r w:rsidR="00EA722A" w:rsidRPr="00271CDA">
        <w:rPr>
          <w:rFonts w:ascii="Times New Roman" w:hAnsi="Times New Roman"/>
          <w:sz w:val="24"/>
          <w:szCs w:val="24"/>
        </w:rPr>
        <w:t xml:space="preserve">; tali tessuti saranno </w:t>
      </w:r>
      <w:r w:rsidR="00FE4C8C" w:rsidRPr="00271CDA">
        <w:rPr>
          <w:rFonts w:ascii="Times New Roman" w:hAnsi="Times New Roman"/>
          <w:sz w:val="24"/>
          <w:szCs w:val="24"/>
        </w:rPr>
        <w:t>omogenat</w:t>
      </w:r>
      <w:r w:rsidR="00EA722A" w:rsidRPr="00271CDA">
        <w:rPr>
          <w:rFonts w:ascii="Times New Roman" w:hAnsi="Times New Roman"/>
          <w:sz w:val="24"/>
          <w:szCs w:val="24"/>
        </w:rPr>
        <w:t>i</w:t>
      </w:r>
      <w:r w:rsidR="00FE4C8C" w:rsidRPr="00271CDA">
        <w:rPr>
          <w:rFonts w:ascii="Times New Roman" w:hAnsi="Times New Roman"/>
          <w:sz w:val="24"/>
          <w:szCs w:val="24"/>
        </w:rPr>
        <w:t xml:space="preserve"> e centrifugat</w:t>
      </w:r>
      <w:r w:rsidR="00EA722A" w:rsidRPr="00271CDA">
        <w:rPr>
          <w:rFonts w:ascii="Times New Roman" w:hAnsi="Times New Roman"/>
          <w:sz w:val="24"/>
          <w:szCs w:val="24"/>
        </w:rPr>
        <w:t>i</w:t>
      </w:r>
      <w:r w:rsidR="00FE4C8C" w:rsidRPr="00271CDA">
        <w:rPr>
          <w:rFonts w:ascii="Times New Roman" w:hAnsi="Times New Roman"/>
          <w:sz w:val="24"/>
          <w:szCs w:val="24"/>
        </w:rPr>
        <w:t xml:space="preserve">. Dopo la centrifugazione, il </w:t>
      </w:r>
      <w:proofErr w:type="spellStart"/>
      <w:r w:rsidR="00FE4C8C" w:rsidRPr="00271CDA">
        <w:rPr>
          <w:rFonts w:ascii="Times New Roman" w:hAnsi="Times New Roman"/>
          <w:sz w:val="24"/>
          <w:szCs w:val="24"/>
        </w:rPr>
        <w:t>supernatante</w:t>
      </w:r>
      <w:proofErr w:type="spellEnd"/>
      <w:r w:rsidR="00FE4C8C" w:rsidRPr="00271CDA">
        <w:rPr>
          <w:rFonts w:ascii="Times New Roman" w:hAnsi="Times New Roman"/>
          <w:sz w:val="24"/>
          <w:szCs w:val="24"/>
        </w:rPr>
        <w:t xml:space="preserve"> </w:t>
      </w:r>
      <w:r w:rsidR="00EA722A" w:rsidRPr="00271CDA">
        <w:rPr>
          <w:rFonts w:ascii="Times New Roman" w:hAnsi="Times New Roman"/>
          <w:sz w:val="24"/>
          <w:szCs w:val="24"/>
        </w:rPr>
        <w:t xml:space="preserve">verrà </w:t>
      </w:r>
      <w:r w:rsidR="00FE4C8C" w:rsidRPr="00271CDA">
        <w:rPr>
          <w:rFonts w:ascii="Times New Roman" w:hAnsi="Times New Roman"/>
          <w:sz w:val="24"/>
          <w:szCs w:val="24"/>
        </w:rPr>
        <w:t xml:space="preserve">isolato e analizzato per la presenza del fattore di trasferimento mediante spettrometria di massa e risonanza magnetica nucleare (NMR). Parallelamente a questi esperimenti, ai ratti </w:t>
      </w:r>
      <w:r w:rsidR="00EA722A" w:rsidRPr="00271CDA">
        <w:rPr>
          <w:rFonts w:ascii="Times New Roman" w:hAnsi="Times New Roman"/>
          <w:sz w:val="24"/>
          <w:szCs w:val="24"/>
        </w:rPr>
        <w:t xml:space="preserve">verranno </w:t>
      </w:r>
      <w:r w:rsidR="00FE4C8C" w:rsidRPr="00271CDA">
        <w:rPr>
          <w:rFonts w:ascii="Times New Roman" w:hAnsi="Times New Roman"/>
          <w:sz w:val="24"/>
          <w:szCs w:val="24"/>
        </w:rPr>
        <w:t xml:space="preserve">iniettate cellule SNU-1079 (contenenti la mutazione IDH1-R132C e silenziate per IDH1) non fissate in formalina al fine di valutare la </w:t>
      </w:r>
      <w:proofErr w:type="spellStart"/>
      <w:r w:rsidR="00FE4C8C" w:rsidRPr="00271CDA">
        <w:rPr>
          <w:rFonts w:ascii="Times New Roman" w:hAnsi="Times New Roman"/>
          <w:sz w:val="24"/>
          <w:szCs w:val="24"/>
        </w:rPr>
        <w:t>tumorigenicità</w:t>
      </w:r>
      <w:proofErr w:type="spellEnd"/>
      <w:r w:rsidR="00FE4C8C" w:rsidRPr="00271CDA">
        <w:rPr>
          <w:rFonts w:ascii="Times New Roman" w:hAnsi="Times New Roman"/>
          <w:sz w:val="24"/>
          <w:szCs w:val="24"/>
        </w:rPr>
        <w:t xml:space="preserve"> di queste linee cellulari nei ratti.</w:t>
      </w:r>
    </w:p>
    <w:p w:rsidR="00E71401" w:rsidRDefault="00E71401" w:rsidP="00E7140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1401" w:rsidRDefault="00EA722A" w:rsidP="00E71401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401">
        <w:rPr>
          <w:rFonts w:ascii="Times New Roman" w:hAnsi="Times New Roman"/>
          <w:sz w:val="24"/>
          <w:szCs w:val="24"/>
        </w:rPr>
        <w:t xml:space="preserve">3) </w:t>
      </w:r>
      <w:r w:rsidRPr="00E71401">
        <w:rPr>
          <w:rFonts w:ascii="Times New Roman" w:hAnsi="Times New Roman"/>
          <w:color w:val="000000"/>
          <w:sz w:val="24"/>
          <w:szCs w:val="24"/>
        </w:rPr>
        <w:t xml:space="preserve">Valutazione del potenziale ruolo immunogenico del TF in termini di trattamento dei tumori con IDH1 mutato. </w:t>
      </w:r>
      <w:proofErr w:type="spellStart"/>
      <w:r w:rsidRPr="00E71401">
        <w:rPr>
          <w:rFonts w:ascii="Times New Roman" w:hAnsi="Times New Roman"/>
          <w:sz w:val="24"/>
          <w:szCs w:val="24"/>
        </w:rPr>
        <w:t>l</w:t>
      </w:r>
      <w:proofErr w:type="spellEnd"/>
      <w:r w:rsidRPr="00E71401">
        <w:rPr>
          <w:rFonts w:ascii="Times New Roman" w:hAnsi="Times New Roman"/>
          <w:sz w:val="24"/>
          <w:szCs w:val="24"/>
        </w:rPr>
        <w:t xml:space="preserve"> ratti verranno inoculati con cellule SNU-1079 contenenti la mutazione IDH1-R132C e incubati per un certo periodo di tempo affinché il tumore si sviluppi. Una volta sviluppato il tumore, i ratti verranno classificati in due diversi gruppi. I ratti del gruppo 1 verranno trattati con TF anti IDH1 R132C e i ratti del gruppo 2 verranno trattati con Placebo.</w:t>
      </w:r>
      <w:r w:rsidR="00271CDA" w:rsidRPr="00E71401">
        <w:rPr>
          <w:rFonts w:ascii="Times New Roman" w:hAnsi="Times New Roman"/>
          <w:sz w:val="24"/>
          <w:szCs w:val="24"/>
        </w:rPr>
        <w:t xml:space="preserve"> </w:t>
      </w:r>
      <w:r w:rsidRPr="00E71401">
        <w:rPr>
          <w:rFonts w:ascii="Times New Roman" w:hAnsi="Times New Roman"/>
          <w:sz w:val="24"/>
          <w:szCs w:val="24"/>
        </w:rPr>
        <w:t xml:space="preserve">Dopo il periodo di incubazione, i ratti di entrambi i gruppi </w:t>
      </w:r>
      <w:r w:rsidR="00271CDA" w:rsidRPr="00E71401">
        <w:rPr>
          <w:rFonts w:ascii="Times New Roman" w:hAnsi="Times New Roman"/>
          <w:sz w:val="24"/>
          <w:szCs w:val="24"/>
        </w:rPr>
        <w:t xml:space="preserve">verranno </w:t>
      </w:r>
      <w:r w:rsidRPr="00E71401">
        <w:rPr>
          <w:rFonts w:ascii="Times New Roman" w:hAnsi="Times New Roman"/>
          <w:sz w:val="24"/>
          <w:szCs w:val="24"/>
        </w:rPr>
        <w:t>sacrificati e il tumore asportato</w:t>
      </w:r>
      <w:r w:rsidR="00271CDA" w:rsidRPr="00E71401">
        <w:rPr>
          <w:rFonts w:ascii="Times New Roman" w:hAnsi="Times New Roman"/>
          <w:sz w:val="24"/>
          <w:szCs w:val="24"/>
        </w:rPr>
        <w:t xml:space="preserve"> sarà analizzato in termini di</w:t>
      </w:r>
      <w:r w:rsidRPr="00E71401">
        <w:rPr>
          <w:rFonts w:ascii="Times New Roman" w:hAnsi="Times New Roman"/>
          <w:sz w:val="24"/>
          <w:szCs w:val="24"/>
        </w:rPr>
        <w:t xml:space="preserve"> dimensioni</w:t>
      </w:r>
      <w:r w:rsidR="00271CDA" w:rsidRPr="00E71401">
        <w:rPr>
          <w:rFonts w:ascii="Times New Roman" w:hAnsi="Times New Roman"/>
          <w:sz w:val="24"/>
          <w:szCs w:val="24"/>
        </w:rPr>
        <w:t>, indice di proliferazione e presenza di infiltrato linfocitario.</w:t>
      </w:r>
      <w:r w:rsidR="00E71401" w:rsidRPr="00E714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1401" w:rsidRDefault="00E71401" w:rsidP="00E71401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401" w:rsidRPr="00E71401" w:rsidRDefault="00E71401" w:rsidP="00E71401">
      <w:pPr>
        <w:spacing w:before="120"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1401">
        <w:rPr>
          <w:rFonts w:ascii="Times New Roman" w:hAnsi="Times New Roman"/>
          <w:b/>
          <w:color w:val="000000"/>
          <w:sz w:val="24"/>
          <w:szCs w:val="24"/>
        </w:rPr>
        <w:t>Bibliografia</w:t>
      </w:r>
    </w:p>
    <w:p w:rsidR="00E71401" w:rsidRPr="00E71401" w:rsidRDefault="00E71401" w:rsidP="00E71401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Marimuthu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Krishnaveni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, A review on transfer factor an immune modulator, Drug Invention Today, Volume 5, Issue 2, 2013, Pages 153-156, ISSN 0975-7619, </w:t>
      </w:r>
      <w:hyperlink r:id="rId5" w:history="1">
        <w:r w:rsidRPr="00E71401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https://doi.org/10.1016/j.dit.2013.04.002.3</w:t>
        </w:r>
      </w:hyperlink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ab/>
      </w:r>
    </w:p>
    <w:p w:rsidR="00E71401" w:rsidRPr="00E71401" w:rsidRDefault="00E71401" w:rsidP="00E71401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1401">
        <w:rPr>
          <w:rFonts w:ascii="Times New Roman" w:hAnsi="Times New Roman"/>
          <w:color w:val="000000"/>
          <w:sz w:val="24"/>
          <w:szCs w:val="24"/>
        </w:rPr>
        <w:t>Viza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</w:rPr>
        <w:t xml:space="preserve"> D, </w:t>
      </w:r>
      <w:proofErr w:type="spellStart"/>
      <w:r w:rsidRPr="00E71401">
        <w:rPr>
          <w:rFonts w:ascii="Times New Roman" w:hAnsi="Times New Roman"/>
          <w:color w:val="000000"/>
          <w:sz w:val="24"/>
          <w:szCs w:val="24"/>
        </w:rPr>
        <w:t>Boucheix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</w:rPr>
        <w:t xml:space="preserve"> C, Cesarini JP, et al. </w:t>
      </w:r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Characterization of a human lymphoblastoid cell line, LDV/7 used to replicate transfer factor and immune RNA. </w:t>
      </w:r>
      <w:proofErr w:type="spellStart"/>
      <w:r w:rsidRPr="00E71401">
        <w:rPr>
          <w:rFonts w:ascii="Times New Roman" w:hAnsi="Times New Roman"/>
          <w:color w:val="000000"/>
          <w:sz w:val="24"/>
          <w:szCs w:val="24"/>
        </w:rPr>
        <w:t>Bio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</w:rPr>
        <w:t xml:space="preserve"> Cell. </w:t>
      </w:r>
      <w:proofErr w:type="gramStart"/>
      <w:r w:rsidRPr="00E71401">
        <w:rPr>
          <w:rFonts w:ascii="Times New Roman" w:hAnsi="Times New Roman"/>
          <w:color w:val="000000"/>
          <w:sz w:val="24"/>
          <w:szCs w:val="24"/>
        </w:rPr>
        <w:t>1982;46:1</w:t>
      </w:r>
      <w:proofErr w:type="gramEnd"/>
      <w:r w:rsidRPr="00E71401">
        <w:rPr>
          <w:rFonts w:ascii="Times New Roman" w:hAnsi="Times New Roman"/>
          <w:color w:val="000000"/>
          <w:sz w:val="24"/>
          <w:szCs w:val="24"/>
        </w:rPr>
        <w:t>e10.</w:t>
      </w:r>
    </w:p>
    <w:p w:rsidR="00E71401" w:rsidRDefault="00E71401" w:rsidP="00E71401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Vetto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 RM, Burger DR, Nolte JE, </w:t>
      </w: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Vandenbark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 AA, Baker HW. Transfer factor therapy in patients with cancer. Cancer. 1976 Jan;37(1):90-7. </w:t>
      </w:r>
    </w:p>
    <w:p w:rsidR="00EA722A" w:rsidRPr="00E71401" w:rsidRDefault="00E71401" w:rsidP="00271CDA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Mondesir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 J, </w:t>
      </w: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Willekens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 C, </w:t>
      </w: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Touat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 M, de </w:t>
      </w:r>
      <w:proofErr w:type="spellStart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>Botton</w:t>
      </w:r>
      <w:proofErr w:type="spellEnd"/>
      <w:r w:rsidRPr="00E71401">
        <w:rPr>
          <w:rFonts w:ascii="Times New Roman" w:hAnsi="Times New Roman"/>
          <w:color w:val="000000"/>
          <w:sz w:val="24"/>
          <w:szCs w:val="24"/>
          <w:lang w:val="en-GB"/>
        </w:rPr>
        <w:t xml:space="preserve"> S. IDH1 and IDH2 mutations as novel therapeutic targets: current perspectives. J Blood Med. 2016 Sep 2; 7:171-80. </w:t>
      </w:r>
    </w:p>
    <w:sectPr w:rsidR="00EA722A" w:rsidRPr="00E71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435C0"/>
    <w:multiLevelType w:val="hybridMultilevel"/>
    <w:tmpl w:val="240C2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655DD"/>
    <w:multiLevelType w:val="hybridMultilevel"/>
    <w:tmpl w:val="C7DE0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3D4F"/>
    <w:multiLevelType w:val="hybridMultilevel"/>
    <w:tmpl w:val="7A6C1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51"/>
    <w:rsid w:val="00130B8B"/>
    <w:rsid w:val="00243251"/>
    <w:rsid w:val="00271CDA"/>
    <w:rsid w:val="00957830"/>
    <w:rsid w:val="00E14DF9"/>
    <w:rsid w:val="00E71401"/>
    <w:rsid w:val="00EA722A"/>
    <w:rsid w:val="00F70840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B371"/>
  <w15:chartTrackingRefBased/>
  <w15:docId w15:val="{2AA55E1D-4770-4E3F-B114-DE07914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25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C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14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dit.2013.04.002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Tavolari</dc:creator>
  <cp:keywords/>
  <dc:description/>
  <cp:lastModifiedBy>Simona Tavolari</cp:lastModifiedBy>
  <cp:revision>4</cp:revision>
  <dcterms:created xsi:type="dcterms:W3CDTF">2022-09-29T13:15:00Z</dcterms:created>
  <dcterms:modified xsi:type="dcterms:W3CDTF">2022-09-30T08:40:00Z</dcterms:modified>
</cp:coreProperties>
</file>